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3323C2" w14:textId="00EFAA23" w:rsidR="0015046A" w:rsidRDefault="0015046A" w:rsidP="002549B7">
      <w:pPr>
        <w:spacing w:line="480" w:lineRule="auto"/>
        <w:rPr>
          <w:rFonts w:ascii="Times New Roman" w:hAnsi="Times New Roman" w:cs="Times New Roman"/>
          <w:sz w:val="24"/>
          <w:szCs w:val="24"/>
        </w:rPr>
      </w:pPr>
    </w:p>
    <w:p w14:paraId="055EC07C" w14:textId="1F0AF844" w:rsidR="0015046A" w:rsidRDefault="0015046A" w:rsidP="002549B7">
      <w:pPr>
        <w:spacing w:line="480" w:lineRule="auto"/>
        <w:jc w:val="center"/>
        <w:rPr>
          <w:rFonts w:ascii="Times New Roman" w:hAnsi="Times New Roman" w:cs="Times New Roman"/>
          <w:sz w:val="24"/>
          <w:szCs w:val="24"/>
        </w:rPr>
      </w:pPr>
    </w:p>
    <w:p w14:paraId="02E315EB" w14:textId="5CCC77F4" w:rsidR="0015046A" w:rsidRDefault="0015046A" w:rsidP="002549B7">
      <w:pPr>
        <w:spacing w:line="480" w:lineRule="auto"/>
        <w:jc w:val="center"/>
        <w:rPr>
          <w:rFonts w:ascii="Times New Roman" w:hAnsi="Times New Roman" w:cs="Times New Roman"/>
          <w:sz w:val="24"/>
          <w:szCs w:val="24"/>
        </w:rPr>
      </w:pPr>
    </w:p>
    <w:p w14:paraId="2B22A7D8" w14:textId="6B8DD43F" w:rsidR="0015046A" w:rsidRDefault="0015046A" w:rsidP="002549B7">
      <w:pPr>
        <w:spacing w:line="480" w:lineRule="auto"/>
        <w:jc w:val="center"/>
        <w:rPr>
          <w:rFonts w:ascii="Times New Roman" w:hAnsi="Times New Roman" w:cs="Times New Roman"/>
          <w:sz w:val="24"/>
          <w:szCs w:val="24"/>
        </w:rPr>
      </w:pPr>
    </w:p>
    <w:p w14:paraId="3B14595E" w14:textId="4C781731" w:rsidR="0015046A" w:rsidRDefault="0015046A" w:rsidP="002549B7">
      <w:pPr>
        <w:spacing w:line="480" w:lineRule="auto"/>
        <w:jc w:val="center"/>
        <w:rPr>
          <w:rFonts w:ascii="Times New Roman" w:hAnsi="Times New Roman" w:cs="Times New Roman"/>
          <w:sz w:val="24"/>
          <w:szCs w:val="24"/>
        </w:rPr>
      </w:pPr>
      <w:r>
        <w:rPr>
          <w:rFonts w:ascii="Times New Roman" w:hAnsi="Times New Roman" w:cs="Times New Roman"/>
          <w:sz w:val="24"/>
          <w:szCs w:val="24"/>
        </w:rPr>
        <w:t>Service Organization and Standards</w:t>
      </w:r>
    </w:p>
    <w:p w14:paraId="361E91E3" w14:textId="4DCF7832" w:rsidR="0015046A" w:rsidRDefault="0015046A" w:rsidP="002549B7">
      <w:pPr>
        <w:spacing w:line="480" w:lineRule="auto"/>
        <w:jc w:val="center"/>
        <w:rPr>
          <w:rFonts w:ascii="Times New Roman" w:hAnsi="Times New Roman" w:cs="Times New Roman"/>
          <w:sz w:val="24"/>
          <w:szCs w:val="24"/>
        </w:rPr>
      </w:pPr>
    </w:p>
    <w:p w14:paraId="2B4301FD" w14:textId="44B008FF" w:rsidR="0015046A" w:rsidRDefault="0015046A" w:rsidP="002549B7">
      <w:pPr>
        <w:spacing w:line="480" w:lineRule="auto"/>
        <w:jc w:val="center"/>
        <w:rPr>
          <w:rFonts w:ascii="Times New Roman" w:hAnsi="Times New Roman" w:cs="Times New Roman"/>
          <w:sz w:val="24"/>
          <w:szCs w:val="24"/>
        </w:rPr>
      </w:pPr>
    </w:p>
    <w:p w14:paraId="3056006B" w14:textId="6E5AE448" w:rsidR="0015046A" w:rsidRDefault="0015046A" w:rsidP="002549B7">
      <w:pPr>
        <w:spacing w:line="480" w:lineRule="auto"/>
        <w:jc w:val="center"/>
        <w:rPr>
          <w:rFonts w:ascii="Times New Roman" w:hAnsi="Times New Roman" w:cs="Times New Roman"/>
          <w:sz w:val="24"/>
          <w:szCs w:val="24"/>
        </w:rPr>
      </w:pPr>
    </w:p>
    <w:p w14:paraId="2FF48F13" w14:textId="54219B8D" w:rsidR="0015046A" w:rsidRDefault="0015046A" w:rsidP="002549B7">
      <w:pPr>
        <w:spacing w:line="480" w:lineRule="auto"/>
        <w:jc w:val="center"/>
        <w:rPr>
          <w:rFonts w:ascii="Times New Roman" w:hAnsi="Times New Roman" w:cs="Times New Roman"/>
          <w:sz w:val="24"/>
          <w:szCs w:val="24"/>
        </w:rPr>
      </w:pPr>
    </w:p>
    <w:p w14:paraId="28594D49" w14:textId="04F6B3ED" w:rsidR="0015046A" w:rsidRDefault="0015046A" w:rsidP="002549B7">
      <w:pPr>
        <w:spacing w:line="480" w:lineRule="auto"/>
        <w:jc w:val="center"/>
        <w:rPr>
          <w:rFonts w:ascii="Times New Roman" w:hAnsi="Times New Roman" w:cs="Times New Roman"/>
          <w:sz w:val="24"/>
          <w:szCs w:val="24"/>
        </w:rPr>
      </w:pPr>
    </w:p>
    <w:p w14:paraId="07614CBD" w14:textId="115DE41F" w:rsidR="0015046A" w:rsidRDefault="0015046A" w:rsidP="002549B7">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the Student</w:t>
      </w:r>
    </w:p>
    <w:p w14:paraId="5A0534C1" w14:textId="3AFCFF2B" w:rsidR="0015046A" w:rsidRDefault="0015046A" w:rsidP="002549B7">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14:paraId="16D5EB8A" w14:textId="2B9D375C" w:rsidR="0015046A" w:rsidRDefault="0015046A" w:rsidP="002549B7">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49619040" w14:textId="0EF6CC30" w:rsidR="0015046A" w:rsidRDefault="0015046A" w:rsidP="002549B7">
      <w:pPr>
        <w:spacing w:line="480" w:lineRule="auto"/>
        <w:jc w:val="center"/>
        <w:rPr>
          <w:rFonts w:ascii="Times New Roman" w:hAnsi="Times New Roman" w:cs="Times New Roman"/>
          <w:sz w:val="24"/>
          <w:szCs w:val="24"/>
        </w:rPr>
      </w:pPr>
      <w:r>
        <w:rPr>
          <w:rFonts w:ascii="Times New Roman" w:hAnsi="Times New Roman" w:cs="Times New Roman"/>
          <w:sz w:val="24"/>
          <w:szCs w:val="24"/>
        </w:rPr>
        <w:t>Da</w:t>
      </w:r>
      <w:r w:rsidR="00FB0C18">
        <w:rPr>
          <w:rFonts w:ascii="Times New Roman" w:hAnsi="Times New Roman" w:cs="Times New Roman"/>
          <w:sz w:val="24"/>
          <w:szCs w:val="24"/>
        </w:rPr>
        <w:t>te</w:t>
      </w:r>
    </w:p>
    <w:p w14:paraId="2D04179E" w14:textId="110ADB7F" w:rsidR="001703F2" w:rsidRDefault="001703F2" w:rsidP="002549B7">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3E381669" w14:textId="37D2E89D" w:rsidR="00AA4978" w:rsidRPr="00AA4978" w:rsidRDefault="00AA4978" w:rsidP="002549B7">
      <w:pPr>
        <w:spacing w:line="480" w:lineRule="auto"/>
        <w:rPr>
          <w:rFonts w:ascii="Times New Roman" w:hAnsi="Times New Roman" w:cs="Times New Roman"/>
          <w:sz w:val="24"/>
          <w:szCs w:val="24"/>
        </w:rPr>
      </w:pPr>
      <w:r w:rsidRPr="00AA4978">
        <w:rPr>
          <w:rFonts w:ascii="Times New Roman" w:hAnsi="Times New Roman" w:cs="Times New Roman"/>
          <w:sz w:val="24"/>
          <w:szCs w:val="24"/>
        </w:rPr>
        <w:lastRenderedPageBreak/>
        <w:t xml:space="preserve">           Standard costing entails the practice of estimating the expenses that will be incurred in a production process.  It encompasses substituting an anticipated cost for an actual cost in the accounting accounts. Standard cost accounting is a vital tool for managers yearning to formulate a more precise budget. As it is, it is with accurate budgets that more profit can be reaped. Also, accurate budgets ensure the business is efficient. Standard costing presents managers with the advantage of a project in how they will spend costs by comparing standard costs and actual costs</w:t>
      </w:r>
      <w:r>
        <w:rPr>
          <w:rFonts w:ascii="Times New Roman" w:hAnsi="Times New Roman" w:cs="Times New Roman"/>
          <w:sz w:val="24"/>
          <w:szCs w:val="24"/>
        </w:rPr>
        <w:t xml:space="preserve"> (</w:t>
      </w:r>
      <w:proofErr w:type="spellStart"/>
      <w:r>
        <w:rPr>
          <w:rFonts w:ascii="Times New Roman" w:hAnsi="Times New Roman" w:cs="Times New Roman"/>
          <w:sz w:val="24"/>
          <w:szCs w:val="24"/>
        </w:rPr>
        <w:t>Kianina</w:t>
      </w:r>
      <w:proofErr w:type="spellEnd"/>
      <w:r>
        <w:rPr>
          <w:rFonts w:ascii="Times New Roman" w:hAnsi="Times New Roman" w:cs="Times New Roman"/>
          <w:sz w:val="24"/>
          <w:szCs w:val="24"/>
        </w:rPr>
        <w:t xml:space="preserve"> et al., 2019)</w:t>
      </w:r>
      <w:r w:rsidRPr="00AA4978">
        <w:rPr>
          <w:rFonts w:ascii="Times New Roman" w:hAnsi="Times New Roman" w:cs="Times New Roman"/>
          <w:sz w:val="24"/>
          <w:szCs w:val="24"/>
        </w:rPr>
        <w:t xml:space="preserve">. Two types of costing standards to look at are ideal standards and practical standards. </w:t>
      </w:r>
    </w:p>
    <w:p w14:paraId="08C090B1" w14:textId="3B1E19EC" w:rsidR="00AA4978" w:rsidRPr="00AA4978" w:rsidRDefault="00AA4978" w:rsidP="002549B7">
      <w:pPr>
        <w:spacing w:line="480" w:lineRule="auto"/>
        <w:ind w:firstLine="720"/>
        <w:rPr>
          <w:rFonts w:ascii="Times New Roman" w:hAnsi="Times New Roman" w:cs="Times New Roman"/>
          <w:sz w:val="24"/>
          <w:szCs w:val="24"/>
        </w:rPr>
      </w:pPr>
      <w:r w:rsidRPr="00AA4978">
        <w:rPr>
          <w:rFonts w:ascii="Times New Roman" w:hAnsi="Times New Roman" w:cs="Times New Roman"/>
          <w:sz w:val="24"/>
          <w:szCs w:val="24"/>
        </w:rPr>
        <w:t>Ideal standards accommodate no work interruptions or breakdowns. Thus, they are only achieved by working at a peak of 100 percent at all times. Ideal standards assume that production occurs in an ideal world rather than in a realistic world. The accomplishment of this standard demands high skilled labor workers and utilization of highly advanced production facilities.   They often demotivate workers and they should not be utilized in decision making. They are common in companies since they operate in high strict assumptions since do not tolerate ordinary inefficiencies.  On the other hand, practical standards accommodate normal employee rest periods and downtime. Despite being tight, they are attainable and serve to motivate employees. They are set high to promote attainable, effective, and efficient operations.  They are useful in decision making since they accommodate the interests of the employees (</w:t>
      </w:r>
      <w:r>
        <w:rPr>
          <w:rFonts w:ascii="Times New Roman" w:hAnsi="Times New Roman" w:cs="Times New Roman"/>
          <w:sz w:val="24"/>
          <w:szCs w:val="24"/>
        </w:rPr>
        <w:t>Panchencko,2017</w:t>
      </w:r>
      <w:r w:rsidRPr="00AA4978">
        <w:rPr>
          <w:rFonts w:ascii="Times New Roman" w:hAnsi="Times New Roman" w:cs="Times New Roman"/>
          <w:sz w:val="24"/>
          <w:szCs w:val="24"/>
        </w:rPr>
        <w:t xml:space="preserve">). Different Service organizations utilize these service standards to affect their operations.  </w:t>
      </w:r>
    </w:p>
    <w:p w14:paraId="5E7B81E8" w14:textId="23B98CE8" w:rsidR="00AA4978" w:rsidRPr="00AA4978" w:rsidRDefault="00AA4978" w:rsidP="002549B7">
      <w:pPr>
        <w:spacing w:line="480" w:lineRule="auto"/>
        <w:rPr>
          <w:rFonts w:ascii="Times New Roman" w:hAnsi="Times New Roman" w:cs="Times New Roman"/>
          <w:sz w:val="24"/>
          <w:szCs w:val="24"/>
        </w:rPr>
      </w:pPr>
      <w:r w:rsidRPr="00AA4978">
        <w:rPr>
          <w:rFonts w:ascii="Times New Roman" w:hAnsi="Times New Roman" w:cs="Times New Roman"/>
          <w:sz w:val="24"/>
          <w:szCs w:val="24"/>
        </w:rPr>
        <w:t xml:space="preserve">           Hospitals adopt normal or practical cost standards that are determined by the current condition of the hospital. Health care centers are unlikely to adopt ideal standards because of the changing nature of the medical services. Ideal stands can be against the prevailing conditions of the hospital. It is only the practical standards that can adhere hospital operations to the prevailing </w:t>
      </w:r>
      <w:r w:rsidRPr="00AA4978">
        <w:rPr>
          <w:rFonts w:ascii="Times New Roman" w:hAnsi="Times New Roman" w:cs="Times New Roman"/>
          <w:sz w:val="24"/>
          <w:szCs w:val="24"/>
        </w:rPr>
        <w:lastRenderedPageBreak/>
        <w:t>conditions.  Law firms utilize ‘cost-based’ standards that are based on the previous performance. It is the previous performance that ascertains the standard costs therefore, law firms are inclined to adopt practical standards. The cost cycle of high and low costs keeps rotating thus the industry cannot adopt ‘ideal standards</w:t>
      </w:r>
      <w:r w:rsidR="002549B7">
        <w:rPr>
          <w:rFonts w:ascii="Times New Roman" w:hAnsi="Times New Roman" w:cs="Times New Roman"/>
          <w:sz w:val="24"/>
          <w:szCs w:val="24"/>
        </w:rPr>
        <w:t xml:space="preserve"> (Sidorova et al., 2019)</w:t>
      </w:r>
      <w:r w:rsidRPr="00AA4978">
        <w:rPr>
          <w:rFonts w:ascii="Times New Roman" w:hAnsi="Times New Roman" w:cs="Times New Roman"/>
          <w:sz w:val="24"/>
          <w:szCs w:val="24"/>
        </w:rPr>
        <w:t xml:space="preserve">. </w:t>
      </w:r>
    </w:p>
    <w:p w14:paraId="4333968B" w14:textId="32883A48" w:rsidR="00AA4978" w:rsidRPr="00AA4978" w:rsidRDefault="00AA4978" w:rsidP="002549B7">
      <w:pPr>
        <w:spacing w:line="480" w:lineRule="auto"/>
        <w:rPr>
          <w:rFonts w:ascii="Times New Roman" w:hAnsi="Times New Roman" w:cs="Times New Roman"/>
          <w:sz w:val="24"/>
          <w:szCs w:val="24"/>
        </w:rPr>
      </w:pPr>
      <w:r w:rsidRPr="00AA4978">
        <w:rPr>
          <w:rFonts w:ascii="Times New Roman" w:hAnsi="Times New Roman" w:cs="Times New Roman"/>
          <w:sz w:val="24"/>
          <w:szCs w:val="24"/>
        </w:rPr>
        <w:t xml:space="preserve">           Accounting firms also utilize cost-based standards that are determined by the previous performance. It is the past performance that ascertains the performance standards. Therefore, accounting firms adopt practical standards. Auto repair shops operate on anticipate or expected costs. These are their standard costs and they are incurred during a certain period according to the past and future behavioral patterns and tendencies. The same standards do apply to fast-food restaurants. If I were a manager in any of these organizations, I would prefer to work in law firms repair since they operate on basis of previous performs. That answer will not change as long as I am working in an environment that accommodates practical standards</w:t>
      </w:r>
      <w:r w:rsidR="002549B7" w:rsidRPr="002549B7">
        <w:rPr>
          <w:rFonts w:ascii="Times New Roman" w:hAnsi="Times New Roman" w:cs="Times New Roman"/>
          <w:sz w:val="24"/>
          <w:szCs w:val="24"/>
        </w:rPr>
        <w:t xml:space="preserve"> </w:t>
      </w:r>
      <w:r w:rsidR="002549B7">
        <w:rPr>
          <w:rFonts w:ascii="Times New Roman" w:hAnsi="Times New Roman" w:cs="Times New Roman"/>
          <w:sz w:val="24"/>
          <w:szCs w:val="24"/>
        </w:rPr>
        <w:t>(</w:t>
      </w:r>
      <w:r w:rsidR="002549B7">
        <w:rPr>
          <w:rFonts w:ascii="Times New Roman" w:hAnsi="Times New Roman" w:cs="Times New Roman"/>
          <w:sz w:val="24"/>
          <w:szCs w:val="24"/>
        </w:rPr>
        <w:t>Sidorova et al., 2019)</w:t>
      </w:r>
      <w:r w:rsidR="002549B7" w:rsidRPr="00AA4978">
        <w:rPr>
          <w:rFonts w:ascii="Times New Roman" w:hAnsi="Times New Roman" w:cs="Times New Roman"/>
          <w:sz w:val="24"/>
          <w:szCs w:val="24"/>
        </w:rPr>
        <w:t>.</w:t>
      </w:r>
    </w:p>
    <w:p w14:paraId="68935B78" w14:textId="753107E0" w:rsidR="001703F2" w:rsidRDefault="00AA4978" w:rsidP="002549B7">
      <w:pPr>
        <w:spacing w:line="480" w:lineRule="auto"/>
        <w:rPr>
          <w:rFonts w:ascii="Times New Roman" w:hAnsi="Times New Roman" w:cs="Times New Roman"/>
          <w:sz w:val="24"/>
          <w:szCs w:val="24"/>
        </w:rPr>
      </w:pPr>
      <w:r w:rsidRPr="00AA4978">
        <w:rPr>
          <w:rFonts w:ascii="Times New Roman" w:hAnsi="Times New Roman" w:cs="Times New Roman"/>
          <w:sz w:val="24"/>
          <w:szCs w:val="24"/>
        </w:rPr>
        <w:t xml:space="preserve">           The ethical issue to consider in the Green Gnome company has to do with integrity. The IMA Statement of Ethical Professional Practice provides that no employees should keep away from any apparent or actual conflict of interest. They should not receive favors or gifts. More so, employees should not engage in any activity that is likely to discredit their profession. Managers and production personnel in the company are paid bonuses on basis of their achievement. Thus, when an ideal standard or ‘zero defect’ strategy is introduced, there is more strictness in the workplace. The strictness erodes the rights of workers such as having reduced rest </w:t>
      </w:r>
      <w:proofErr w:type="gramStart"/>
      <w:r w:rsidRPr="00AA4978">
        <w:rPr>
          <w:rFonts w:ascii="Times New Roman" w:hAnsi="Times New Roman" w:cs="Times New Roman"/>
          <w:sz w:val="24"/>
          <w:szCs w:val="24"/>
        </w:rPr>
        <w:t>time</w:t>
      </w:r>
      <w:r w:rsidR="002549B7">
        <w:rPr>
          <w:rFonts w:ascii="Times New Roman" w:hAnsi="Times New Roman" w:cs="Times New Roman"/>
          <w:sz w:val="24"/>
          <w:szCs w:val="24"/>
        </w:rPr>
        <w:t xml:space="preserve">  (</w:t>
      </w:r>
      <w:proofErr w:type="spellStart"/>
      <w:proofErr w:type="gramEnd"/>
      <w:r w:rsidR="002549B7">
        <w:rPr>
          <w:rFonts w:ascii="Times New Roman" w:hAnsi="Times New Roman" w:cs="Times New Roman"/>
          <w:sz w:val="24"/>
          <w:szCs w:val="24"/>
        </w:rPr>
        <w:t>Lampton</w:t>
      </w:r>
      <w:proofErr w:type="spellEnd"/>
      <w:r w:rsidR="002549B7">
        <w:rPr>
          <w:rFonts w:ascii="Times New Roman" w:hAnsi="Times New Roman" w:cs="Times New Roman"/>
          <w:sz w:val="24"/>
          <w:szCs w:val="24"/>
        </w:rPr>
        <w:t>, 2020)</w:t>
      </w:r>
      <w:r w:rsidRPr="00AA4978">
        <w:rPr>
          <w:rFonts w:ascii="Times New Roman" w:hAnsi="Times New Roman" w:cs="Times New Roman"/>
          <w:sz w:val="24"/>
          <w:szCs w:val="24"/>
        </w:rPr>
        <w:t xml:space="preserve">. Greg’s role as an accountant is to ensure that the business and utilization are efficient of a precise budget that is bound to reap huge profits.  The most advisable option for </w:t>
      </w:r>
      <w:r w:rsidRPr="00AA4978">
        <w:rPr>
          <w:rFonts w:ascii="Times New Roman" w:hAnsi="Times New Roman" w:cs="Times New Roman"/>
          <w:sz w:val="24"/>
          <w:szCs w:val="24"/>
        </w:rPr>
        <w:lastRenderedPageBreak/>
        <w:t>Greg is to adjust the situation to practical standards so that the company can be in a position to set high goals that are attainable and allows for employees' rest and downtime.</w:t>
      </w:r>
      <w:r w:rsidR="001703F2">
        <w:rPr>
          <w:rFonts w:ascii="Times New Roman" w:hAnsi="Times New Roman" w:cs="Times New Roman"/>
          <w:sz w:val="24"/>
          <w:szCs w:val="24"/>
        </w:rPr>
        <w:br w:type="page"/>
      </w:r>
    </w:p>
    <w:p w14:paraId="57961C8B" w14:textId="3AF27F32" w:rsidR="001703F2" w:rsidRDefault="001703F2" w:rsidP="002549B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0406856C" w14:textId="0CD54AB4" w:rsidR="00AA4978" w:rsidRPr="002549B7" w:rsidRDefault="00AA4978" w:rsidP="002549B7">
      <w:pPr>
        <w:spacing w:line="480" w:lineRule="auto"/>
        <w:ind w:left="720" w:hanging="720"/>
        <w:rPr>
          <w:rFonts w:ascii="Times New Roman" w:hAnsi="Times New Roman" w:cs="Times New Roman"/>
          <w:color w:val="222222"/>
          <w:sz w:val="24"/>
          <w:szCs w:val="24"/>
          <w:shd w:val="clear" w:color="auto" w:fill="FFFFFF"/>
        </w:rPr>
      </w:pPr>
      <w:proofErr w:type="spellStart"/>
      <w:r w:rsidRPr="002549B7">
        <w:rPr>
          <w:rFonts w:ascii="Times New Roman" w:hAnsi="Times New Roman" w:cs="Times New Roman"/>
          <w:color w:val="222222"/>
          <w:sz w:val="24"/>
          <w:szCs w:val="24"/>
          <w:shd w:val="clear" w:color="auto" w:fill="FFFFFF"/>
        </w:rPr>
        <w:t>Kianian</w:t>
      </w:r>
      <w:proofErr w:type="spellEnd"/>
      <w:r w:rsidRPr="002549B7">
        <w:rPr>
          <w:rFonts w:ascii="Times New Roman" w:hAnsi="Times New Roman" w:cs="Times New Roman"/>
          <w:color w:val="222222"/>
          <w:sz w:val="24"/>
          <w:szCs w:val="24"/>
          <w:shd w:val="clear" w:color="auto" w:fill="FFFFFF"/>
        </w:rPr>
        <w:t xml:space="preserve">, B., </w:t>
      </w:r>
      <w:proofErr w:type="spellStart"/>
      <w:r w:rsidRPr="002549B7">
        <w:rPr>
          <w:rFonts w:ascii="Times New Roman" w:hAnsi="Times New Roman" w:cs="Times New Roman"/>
          <w:color w:val="222222"/>
          <w:sz w:val="24"/>
          <w:szCs w:val="24"/>
          <w:shd w:val="clear" w:color="auto" w:fill="FFFFFF"/>
        </w:rPr>
        <w:t>Kurdve</w:t>
      </w:r>
      <w:proofErr w:type="spellEnd"/>
      <w:r w:rsidRPr="002549B7">
        <w:rPr>
          <w:rFonts w:ascii="Times New Roman" w:hAnsi="Times New Roman" w:cs="Times New Roman"/>
          <w:color w:val="222222"/>
          <w:sz w:val="24"/>
          <w:szCs w:val="24"/>
          <w:shd w:val="clear" w:color="auto" w:fill="FFFFFF"/>
        </w:rPr>
        <w:t>, M., &amp; Andersson, C. (2019). Comparing life cycle costing and performance part costing in assessing acquisition and operational cost of new manufacturing technologies. </w:t>
      </w:r>
      <w:r w:rsidRPr="002549B7">
        <w:rPr>
          <w:rFonts w:ascii="Times New Roman" w:hAnsi="Times New Roman" w:cs="Times New Roman"/>
          <w:i/>
          <w:iCs/>
          <w:color w:val="222222"/>
          <w:sz w:val="24"/>
          <w:szCs w:val="24"/>
          <w:shd w:val="clear" w:color="auto" w:fill="FFFFFF"/>
        </w:rPr>
        <w:t>Procedia CIRP</w:t>
      </w:r>
      <w:r w:rsidRPr="002549B7">
        <w:rPr>
          <w:rFonts w:ascii="Times New Roman" w:hAnsi="Times New Roman" w:cs="Times New Roman"/>
          <w:color w:val="222222"/>
          <w:sz w:val="24"/>
          <w:szCs w:val="24"/>
          <w:shd w:val="clear" w:color="auto" w:fill="FFFFFF"/>
        </w:rPr>
        <w:t>, </w:t>
      </w:r>
      <w:r w:rsidRPr="002549B7">
        <w:rPr>
          <w:rFonts w:ascii="Times New Roman" w:hAnsi="Times New Roman" w:cs="Times New Roman"/>
          <w:i/>
          <w:iCs/>
          <w:color w:val="222222"/>
          <w:sz w:val="24"/>
          <w:szCs w:val="24"/>
          <w:shd w:val="clear" w:color="auto" w:fill="FFFFFF"/>
        </w:rPr>
        <w:t>80</w:t>
      </w:r>
      <w:r w:rsidRPr="002549B7">
        <w:rPr>
          <w:rFonts w:ascii="Times New Roman" w:hAnsi="Times New Roman" w:cs="Times New Roman"/>
          <w:color w:val="222222"/>
          <w:sz w:val="24"/>
          <w:szCs w:val="24"/>
          <w:shd w:val="clear" w:color="auto" w:fill="FFFFFF"/>
        </w:rPr>
        <w:t>, 428-433.</w:t>
      </w:r>
    </w:p>
    <w:p w14:paraId="6D9F984E" w14:textId="2A147085" w:rsidR="00AA4978" w:rsidRPr="002549B7" w:rsidRDefault="00AA4978" w:rsidP="002549B7">
      <w:pPr>
        <w:spacing w:line="480" w:lineRule="auto"/>
        <w:ind w:left="720" w:hanging="720"/>
        <w:rPr>
          <w:rFonts w:ascii="Times New Roman" w:hAnsi="Times New Roman" w:cs="Times New Roman"/>
          <w:color w:val="222222"/>
          <w:sz w:val="24"/>
          <w:szCs w:val="24"/>
          <w:shd w:val="clear" w:color="auto" w:fill="FFFFFF"/>
        </w:rPr>
      </w:pPr>
      <w:proofErr w:type="spellStart"/>
      <w:r w:rsidRPr="002549B7">
        <w:rPr>
          <w:rFonts w:ascii="Times New Roman" w:hAnsi="Times New Roman" w:cs="Times New Roman"/>
          <w:color w:val="222222"/>
          <w:sz w:val="24"/>
          <w:szCs w:val="24"/>
          <w:shd w:val="clear" w:color="auto" w:fill="FFFFFF"/>
        </w:rPr>
        <w:t>Panchenko</w:t>
      </w:r>
      <w:proofErr w:type="spellEnd"/>
      <w:r w:rsidRPr="002549B7">
        <w:rPr>
          <w:rFonts w:ascii="Times New Roman" w:hAnsi="Times New Roman" w:cs="Times New Roman"/>
          <w:color w:val="222222"/>
          <w:sz w:val="24"/>
          <w:szCs w:val="24"/>
          <w:shd w:val="clear" w:color="auto" w:fill="FFFFFF"/>
        </w:rPr>
        <w:t>, A. (2017). Standard Costing: Advantages and Disadvantages.</w:t>
      </w:r>
    </w:p>
    <w:p w14:paraId="6D2D6CFD" w14:textId="75080233" w:rsidR="002549B7" w:rsidRPr="002549B7" w:rsidRDefault="002549B7" w:rsidP="002549B7">
      <w:pPr>
        <w:spacing w:line="480" w:lineRule="auto"/>
        <w:ind w:left="720" w:hanging="720"/>
        <w:rPr>
          <w:rFonts w:ascii="Times New Roman" w:hAnsi="Times New Roman" w:cs="Times New Roman"/>
          <w:color w:val="222222"/>
          <w:sz w:val="24"/>
          <w:szCs w:val="24"/>
          <w:shd w:val="clear" w:color="auto" w:fill="FFFFFF"/>
        </w:rPr>
      </w:pPr>
      <w:r w:rsidRPr="002549B7">
        <w:rPr>
          <w:rFonts w:ascii="Times New Roman" w:hAnsi="Times New Roman" w:cs="Times New Roman"/>
          <w:color w:val="222222"/>
          <w:sz w:val="24"/>
          <w:szCs w:val="24"/>
          <w:shd w:val="clear" w:color="auto" w:fill="FFFFFF"/>
        </w:rPr>
        <w:t xml:space="preserve">Sidorova, M., </w:t>
      </w:r>
      <w:proofErr w:type="spellStart"/>
      <w:r w:rsidRPr="002549B7">
        <w:rPr>
          <w:rFonts w:ascii="Times New Roman" w:hAnsi="Times New Roman" w:cs="Times New Roman"/>
          <w:color w:val="222222"/>
          <w:sz w:val="24"/>
          <w:szCs w:val="24"/>
          <w:shd w:val="clear" w:color="auto" w:fill="FFFFFF"/>
        </w:rPr>
        <w:t>Nazarov</w:t>
      </w:r>
      <w:proofErr w:type="spellEnd"/>
      <w:r w:rsidRPr="002549B7">
        <w:rPr>
          <w:rFonts w:ascii="Times New Roman" w:hAnsi="Times New Roman" w:cs="Times New Roman"/>
          <w:color w:val="222222"/>
          <w:sz w:val="24"/>
          <w:szCs w:val="24"/>
          <w:shd w:val="clear" w:color="auto" w:fill="FFFFFF"/>
        </w:rPr>
        <w:t xml:space="preserve">, D., &amp; </w:t>
      </w:r>
      <w:proofErr w:type="spellStart"/>
      <w:r w:rsidRPr="002549B7">
        <w:rPr>
          <w:rFonts w:ascii="Times New Roman" w:hAnsi="Times New Roman" w:cs="Times New Roman"/>
          <w:color w:val="222222"/>
          <w:sz w:val="24"/>
          <w:szCs w:val="24"/>
          <w:shd w:val="clear" w:color="auto" w:fill="FFFFFF"/>
        </w:rPr>
        <w:t>Listopad</w:t>
      </w:r>
      <w:proofErr w:type="spellEnd"/>
      <w:r w:rsidRPr="002549B7">
        <w:rPr>
          <w:rFonts w:ascii="Times New Roman" w:hAnsi="Times New Roman" w:cs="Times New Roman"/>
          <w:color w:val="222222"/>
          <w:sz w:val="24"/>
          <w:szCs w:val="24"/>
          <w:shd w:val="clear" w:color="auto" w:fill="FFFFFF"/>
        </w:rPr>
        <w:t>, E. (2019, November). Standard costing: first steps in the USSR (1930-1934). In </w:t>
      </w:r>
      <w:r w:rsidRPr="002549B7">
        <w:rPr>
          <w:rFonts w:ascii="Times New Roman" w:hAnsi="Times New Roman" w:cs="Times New Roman"/>
          <w:i/>
          <w:iCs/>
          <w:color w:val="222222"/>
          <w:sz w:val="24"/>
          <w:szCs w:val="24"/>
          <w:shd w:val="clear" w:color="auto" w:fill="FFFFFF"/>
        </w:rPr>
        <w:t>Third International Economic Symposium (IES 2018)</w:t>
      </w:r>
      <w:r w:rsidRPr="002549B7">
        <w:rPr>
          <w:rFonts w:ascii="Times New Roman" w:hAnsi="Times New Roman" w:cs="Times New Roman"/>
          <w:color w:val="222222"/>
          <w:sz w:val="24"/>
          <w:szCs w:val="24"/>
          <w:shd w:val="clear" w:color="auto" w:fill="FFFFFF"/>
        </w:rPr>
        <w:t> (pp. 122-132). Atlantis Press.</w:t>
      </w:r>
    </w:p>
    <w:p w14:paraId="4F495909" w14:textId="00597E11" w:rsidR="002549B7" w:rsidRPr="002549B7" w:rsidRDefault="002549B7" w:rsidP="002549B7">
      <w:pPr>
        <w:spacing w:line="480" w:lineRule="auto"/>
        <w:ind w:left="720" w:hanging="720"/>
        <w:rPr>
          <w:rFonts w:ascii="Times New Roman" w:hAnsi="Times New Roman" w:cs="Times New Roman"/>
          <w:sz w:val="24"/>
          <w:szCs w:val="24"/>
        </w:rPr>
      </w:pPr>
      <w:proofErr w:type="spellStart"/>
      <w:r w:rsidRPr="002549B7">
        <w:rPr>
          <w:rFonts w:ascii="Times New Roman" w:hAnsi="Times New Roman" w:cs="Times New Roman"/>
          <w:color w:val="222222"/>
          <w:sz w:val="24"/>
          <w:szCs w:val="24"/>
          <w:shd w:val="clear" w:color="auto" w:fill="FFFFFF"/>
        </w:rPr>
        <w:t>Lampton</w:t>
      </w:r>
      <w:proofErr w:type="spellEnd"/>
      <w:r w:rsidRPr="002549B7">
        <w:rPr>
          <w:rFonts w:ascii="Times New Roman" w:hAnsi="Times New Roman" w:cs="Times New Roman"/>
          <w:color w:val="222222"/>
          <w:sz w:val="24"/>
          <w:szCs w:val="24"/>
          <w:shd w:val="clear" w:color="auto" w:fill="FFFFFF"/>
        </w:rPr>
        <w:t>, J. A. (2020). ETHICS MUST BE GLOBAL. </w:t>
      </w:r>
      <w:r w:rsidRPr="002549B7">
        <w:rPr>
          <w:rFonts w:ascii="Times New Roman" w:hAnsi="Times New Roman" w:cs="Times New Roman"/>
          <w:i/>
          <w:iCs/>
          <w:color w:val="222222"/>
          <w:sz w:val="24"/>
          <w:szCs w:val="24"/>
          <w:shd w:val="clear" w:color="auto" w:fill="FFFFFF"/>
        </w:rPr>
        <w:t>Strategic Finance</w:t>
      </w:r>
      <w:r w:rsidRPr="002549B7">
        <w:rPr>
          <w:rFonts w:ascii="Times New Roman" w:hAnsi="Times New Roman" w:cs="Times New Roman"/>
          <w:color w:val="222222"/>
          <w:sz w:val="24"/>
          <w:szCs w:val="24"/>
          <w:shd w:val="clear" w:color="auto" w:fill="FFFFFF"/>
        </w:rPr>
        <w:t>, </w:t>
      </w:r>
      <w:r w:rsidRPr="002549B7">
        <w:rPr>
          <w:rFonts w:ascii="Times New Roman" w:hAnsi="Times New Roman" w:cs="Times New Roman"/>
          <w:i/>
          <w:iCs/>
          <w:color w:val="222222"/>
          <w:sz w:val="24"/>
          <w:szCs w:val="24"/>
          <w:shd w:val="clear" w:color="auto" w:fill="FFFFFF"/>
        </w:rPr>
        <w:t>101</w:t>
      </w:r>
      <w:r w:rsidRPr="002549B7">
        <w:rPr>
          <w:rFonts w:ascii="Times New Roman" w:hAnsi="Times New Roman" w:cs="Times New Roman"/>
          <w:color w:val="222222"/>
          <w:sz w:val="24"/>
          <w:szCs w:val="24"/>
          <w:shd w:val="clear" w:color="auto" w:fill="FFFFFF"/>
        </w:rPr>
        <w:t>(8), 13-14.</w:t>
      </w:r>
    </w:p>
    <w:sectPr w:rsidR="002549B7" w:rsidRPr="002549B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849D1D" w14:textId="77777777" w:rsidR="009B3907" w:rsidRDefault="009B3907" w:rsidP="0015046A">
      <w:pPr>
        <w:spacing w:after="0" w:line="240" w:lineRule="auto"/>
      </w:pPr>
      <w:r>
        <w:separator/>
      </w:r>
    </w:p>
  </w:endnote>
  <w:endnote w:type="continuationSeparator" w:id="0">
    <w:p w14:paraId="2BC2F88E" w14:textId="77777777" w:rsidR="009B3907" w:rsidRDefault="009B3907" w:rsidP="001504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816A3C" w14:textId="77777777" w:rsidR="009B3907" w:rsidRDefault="009B3907" w:rsidP="0015046A">
      <w:pPr>
        <w:spacing w:after="0" w:line="240" w:lineRule="auto"/>
      </w:pPr>
      <w:r>
        <w:separator/>
      </w:r>
    </w:p>
  </w:footnote>
  <w:footnote w:type="continuationSeparator" w:id="0">
    <w:p w14:paraId="04B687AF" w14:textId="77777777" w:rsidR="009B3907" w:rsidRDefault="009B3907" w:rsidP="001504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ACD3D2" w14:textId="1AC05493" w:rsidR="0015046A" w:rsidRPr="0015046A" w:rsidRDefault="0015046A">
    <w:pPr>
      <w:pStyle w:val="Header"/>
      <w:rPr>
        <w:rFonts w:ascii="Times New Roman" w:hAnsi="Times New Roman" w:cs="Times New Roman"/>
        <w:sz w:val="24"/>
        <w:szCs w:val="24"/>
      </w:rPr>
    </w:pPr>
    <w:r w:rsidRPr="0015046A">
      <w:rPr>
        <w:rFonts w:ascii="Times New Roman" w:hAnsi="Times New Roman" w:cs="Times New Roman"/>
        <w:sz w:val="24"/>
        <w:szCs w:val="24"/>
      </w:rPr>
      <w:t xml:space="preserve">SERVICE ORGANIZATIONS AND STANDARDS                                                            </w:t>
    </w:r>
    <w:sdt>
      <w:sdtPr>
        <w:rPr>
          <w:rFonts w:ascii="Times New Roman" w:hAnsi="Times New Roman" w:cs="Times New Roman"/>
          <w:sz w:val="24"/>
          <w:szCs w:val="24"/>
        </w:rPr>
        <w:id w:val="2045479675"/>
        <w:docPartObj>
          <w:docPartGallery w:val="Page Numbers (Top of Page)"/>
          <w:docPartUnique/>
        </w:docPartObj>
      </w:sdtPr>
      <w:sdtEndPr>
        <w:rPr>
          <w:noProof/>
        </w:rPr>
      </w:sdtEndPr>
      <w:sdtContent>
        <w:r w:rsidRPr="0015046A">
          <w:rPr>
            <w:rFonts w:ascii="Times New Roman" w:hAnsi="Times New Roman" w:cs="Times New Roman"/>
            <w:sz w:val="24"/>
            <w:szCs w:val="24"/>
          </w:rPr>
          <w:fldChar w:fldCharType="begin"/>
        </w:r>
        <w:r w:rsidRPr="0015046A">
          <w:rPr>
            <w:rFonts w:ascii="Times New Roman" w:hAnsi="Times New Roman" w:cs="Times New Roman"/>
            <w:sz w:val="24"/>
            <w:szCs w:val="24"/>
          </w:rPr>
          <w:instrText xml:space="preserve"> PAGE   \* MERGEFORMAT </w:instrText>
        </w:r>
        <w:r w:rsidRPr="0015046A">
          <w:rPr>
            <w:rFonts w:ascii="Times New Roman" w:hAnsi="Times New Roman" w:cs="Times New Roman"/>
            <w:sz w:val="24"/>
            <w:szCs w:val="24"/>
          </w:rPr>
          <w:fldChar w:fldCharType="separate"/>
        </w:r>
        <w:r w:rsidRPr="0015046A">
          <w:rPr>
            <w:rFonts w:ascii="Times New Roman" w:hAnsi="Times New Roman" w:cs="Times New Roman"/>
            <w:noProof/>
            <w:sz w:val="24"/>
            <w:szCs w:val="24"/>
          </w:rPr>
          <w:t>2</w:t>
        </w:r>
        <w:r w:rsidRPr="0015046A">
          <w:rPr>
            <w:rFonts w:ascii="Times New Roman" w:hAnsi="Times New Roman" w:cs="Times New Roman"/>
            <w:noProof/>
            <w:sz w:val="24"/>
            <w:szCs w:val="24"/>
          </w:rPr>
          <w:fldChar w:fldCharType="end"/>
        </w:r>
      </w:sdtContent>
    </w:sdt>
  </w:p>
  <w:p w14:paraId="74570D57" w14:textId="77777777" w:rsidR="0015046A" w:rsidRDefault="001504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46A"/>
    <w:rsid w:val="00131E52"/>
    <w:rsid w:val="0015046A"/>
    <w:rsid w:val="00162A9C"/>
    <w:rsid w:val="001703F2"/>
    <w:rsid w:val="00241AE7"/>
    <w:rsid w:val="002549B7"/>
    <w:rsid w:val="003D3AB6"/>
    <w:rsid w:val="00516633"/>
    <w:rsid w:val="00523DDD"/>
    <w:rsid w:val="00635E1E"/>
    <w:rsid w:val="006554BB"/>
    <w:rsid w:val="006C7458"/>
    <w:rsid w:val="0087279A"/>
    <w:rsid w:val="009B3907"/>
    <w:rsid w:val="00A41F79"/>
    <w:rsid w:val="00AA4978"/>
    <w:rsid w:val="00B47C63"/>
    <w:rsid w:val="00B7263B"/>
    <w:rsid w:val="00BD68DE"/>
    <w:rsid w:val="00C05866"/>
    <w:rsid w:val="00D54866"/>
    <w:rsid w:val="00E17549"/>
    <w:rsid w:val="00EC7B38"/>
    <w:rsid w:val="00F617BB"/>
    <w:rsid w:val="00F966E3"/>
    <w:rsid w:val="00FB0C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508D7"/>
  <w15:chartTrackingRefBased/>
  <w15:docId w15:val="{47B163DA-4528-485D-8C6E-B8826D36F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04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046A"/>
  </w:style>
  <w:style w:type="paragraph" w:styleId="Footer">
    <w:name w:val="footer"/>
    <w:basedOn w:val="Normal"/>
    <w:link w:val="FooterChar"/>
    <w:uiPriority w:val="99"/>
    <w:unhideWhenUsed/>
    <w:rsid w:val="001504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04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5</Pages>
  <Words>739</Words>
  <Characters>4214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dc:creator>
  <cp:keywords/>
  <dc:description/>
  <cp:lastModifiedBy>IAN</cp:lastModifiedBy>
  <cp:revision>7</cp:revision>
  <dcterms:created xsi:type="dcterms:W3CDTF">2021-02-02T03:07:00Z</dcterms:created>
  <dcterms:modified xsi:type="dcterms:W3CDTF">2021-02-02T07:54:00Z</dcterms:modified>
</cp:coreProperties>
</file>